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03C7" w:rsidRDefault="00994E59" w:rsidP="001B03C7">
            <w:pPr>
              <w:ind w:left="71" w:right="62"/>
              <w:rPr>
                <w:rFonts w:ascii="Arial" w:hAnsi="Arial" w:cs="Arial"/>
                <w:color w:val="000000"/>
              </w:rPr>
            </w:pPr>
            <w:r w:rsidRPr="00994E59">
              <w:rPr>
                <w:rFonts w:ascii="Arial" w:hAnsi="Arial" w:cs="Arial"/>
                <w:i/>
              </w:rPr>
              <w:t>A l’attention de Madame Magali BARBIER</w:t>
            </w:r>
          </w:p>
          <w:p w:rsidR="001B4B9D" w:rsidRDefault="001B4B9D"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t xml:space="preserve"> </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796A25">
              <w:t xml:space="preserve"> </w:t>
            </w:r>
            <w:r w:rsidR="00796A25" w:rsidRPr="00796A25">
              <w:rPr>
                <w:rFonts w:ascii="Arial" w:hAnsi="Arial" w:cs="Arial"/>
                <w:sz w:val="18"/>
                <w:szCs w:val="18"/>
              </w:rPr>
              <w:t xml:space="preserve">Demande d’avis pour l’organisation d’un concours de pêche, sur la commune de la </w:t>
            </w:r>
            <w:r w:rsidR="00796A25">
              <w:rPr>
                <w:rFonts w:ascii="Arial" w:hAnsi="Arial" w:cs="Arial"/>
                <w:sz w:val="18"/>
                <w:szCs w:val="18"/>
              </w:rPr>
              <w:t>Mary-sur-Marne</w:t>
            </w:r>
            <w:r w:rsidR="00796A25" w:rsidRPr="00796A25">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9A490A" w:rsidRDefault="009A490A" w:rsidP="009A490A">
      <w:pPr>
        <w:tabs>
          <w:tab w:val="left" w:pos="426"/>
        </w:tabs>
        <w:ind w:left="-284"/>
        <w:jc w:val="both"/>
        <w:rPr>
          <w:rFonts w:ascii="Arial" w:hAnsi="Arial" w:cs="Arial"/>
          <w:sz w:val="22"/>
          <w:szCs w:val="22"/>
        </w:rPr>
      </w:pPr>
      <w:r w:rsidRPr="00796A25">
        <w:rPr>
          <w:rFonts w:ascii="Arial" w:hAnsi="Arial" w:cs="Arial"/>
          <w:sz w:val="22"/>
          <w:szCs w:val="22"/>
        </w:rPr>
        <w:t>Madame</w:t>
      </w:r>
      <w:r>
        <w:rPr>
          <w:rFonts w:ascii="Arial" w:hAnsi="Arial" w:cs="Arial"/>
          <w:sz w:val="22"/>
          <w:szCs w:val="22"/>
        </w:rPr>
        <w:t>,</w:t>
      </w:r>
    </w:p>
    <w:p w:rsidR="009A490A" w:rsidRDefault="009A490A" w:rsidP="009A490A">
      <w:pPr>
        <w:tabs>
          <w:tab w:val="left" w:pos="426"/>
        </w:tabs>
        <w:ind w:left="-284"/>
        <w:jc w:val="both"/>
        <w:rPr>
          <w:rFonts w:ascii="Arial" w:hAnsi="Arial" w:cs="Arial"/>
          <w:sz w:val="22"/>
          <w:szCs w:val="22"/>
        </w:rPr>
      </w:pPr>
    </w:p>
    <w:p w:rsidR="00350ABF" w:rsidRPr="004E65D6" w:rsidRDefault="00350ABF" w:rsidP="00350ABF">
      <w:pPr>
        <w:tabs>
          <w:tab w:val="left" w:pos="426"/>
        </w:tabs>
        <w:ind w:left="-284"/>
        <w:jc w:val="both"/>
        <w:rPr>
          <w:rFonts w:ascii="Arial" w:hAnsi="Arial" w:cs="Arial"/>
          <w:sz w:val="22"/>
          <w:szCs w:val="22"/>
        </w:rPr>
      </w:pPr>
      <w:r w:rsidRPr="004E65D6">
        <w:rPr>
          <w:rFonts w:ascii="Arial" w:hAnsi="Arial" w:cs="Arial"/>
          <w:sz w:val="22"/>
          <w:szCs w:val="22"/>
        </w:rPr>
        <w:t xml:space="preserve">Par courrier en date du </w:t>
      </w:r>
      <w:r w:rsidR="00994E59" w:rsidRPr="004E65D6">
        <w:rPr>
          <w:rFonts w:ascii="Arial" w:hAnsi="Arial" w:cs="Arial"/>
          <w:sz w:val="22"/>
          <w:szCs w:val="22"/>
        </w:rPr>
        <w:t>1</w:t>
      </w:r>
      <w:r w:rsidR="00994E59" w:rsidRPr="004E65D6">
        <w:rPr>
          <w:rFonts w:ascii="Arial" w:hAnsi="Arial" w:cs="Arial"/>
          <w:sz w:val="22"/>
          <w:szCs w:val="22"/>
          <w:vertAlign w:val="superscript"/>
        </w:rPr>
        <w:t>er</w:t>
      </w:r>
      <w:r w:rsidR="00994E59" w:rsidRPr="004E65D6">
        <w:rPr>
          <w:rFonts w:ascii="Arial" w:hAnsi="Arial" w:cs="Arial"/>
          <w:sz w:val="22"/>
          <w:szCs w:val="22"/>
        </w:rPr>
        <w:t xml:space="preserve"> juillet</w:t>
      </w:r>
      <w:r w:rsidRPr="004E65D6">
        <w:rPr>
          <w:rFonts w:ascii="Arial" w:hAnsi="Arial" w:cs="Arial"/>
          <w:sz w:val="22"/>
          <w:szCs w:val="22"/>
        </w:rPr>
        <w:t xml:space="preserve"> 2020, vous avez sollicité l’Agence régionale de santé Ile-de-France pour connaître son avis sur le dossier de demande d’autorisation d’une manifestation nautique « Concours de pêche</w:t>
      </w:r>
      <w:r w:rsidR="00994E59" w:rsidRPr="004E65D6">
        <w:rPr>
          <w:rFonts w:ascii="Arial" w:hAnsi="Arial" w:cs="Arial"/>
          <w:sz w:val="22"/>
          <w:szCs w:val="22"/>
        </w:rPr>
        <w:t xml:space="preserve"> </w:t>
      </w:r>
      <w:r w:rsidRPr="004E65D6">
        <w:rPr>
          <w:rFonts w:ascii="Arial" w:hAnsi="Arial" w:cs="Arial"/>
          <w:sz w:val="22"/>
          <w:szCs w:val="22"/>
        </w:rPr>
        <w:t>» prévue le</w:t>
      </w:r>
      <w:r w:rsidR="00994E59" w:rsidRPr="004E65D6">
        <w:rPr>
          <w:rFonts w:ascii="Arial" w:hAnsi="Arial" w:cs="Arial"/>
          <w:sz w:val="22"/>
          <w:szCs w:val="22"/>
        </w:rPr>
        <w:t xml:space="preserve"> 30 août 2020</w:t>
      </w:r>
      <w:r w:rsidR="000E6ED0">
        <w:rPr>
          <w:rFonts w:ascii="Arial" w:hAnsi="Arial" w:cs="Arial"/>
          <w:sz w:val="22"/>
          <w:szCs w:val="22"/>
        </w:rPr>
        <w:t>, de 7h à 18</w:t>
      </w:r>
      <w:r w:rsidRPr="004E65D6">
        <w:rPr>
          <w:rFonts w:ascii="Arial" w:hAnsi="Arial" w:cs="Arial"/>
          <w:sz w:val="22"/>
          <w:szCs w:val="22"/>
        </w:rPr>
        <w:t xml:space="preserve">h, sur la commune de </w:t>
      </w:r>
      <w:r w:rsidR="004E65D6" w:rsidRPr="004E65D6">
        <w:rPr>
          <w:rFonts w:ascii="Arial" w:hAnsi="Arial" w:cs="Arial"/>
          <w:sz w:val="22"/>
          <w:szCs w:val="22"/>
        </w:rPr>
        <w:t>Mary-sur-Marne</w:t>
      </w:r>
      <w:r w:rsidRPr="004E65D6">
        <w:rPr>
          <w:rFonts w:ascii="Arial" w:hAnsi="Arial" w:cs="Arial"/>
          <w:sz w:val="22"/>
          <w:szCs w:val="22"/>
        </w:rPr>
        <w:t>.</w:t>
      </w:r>
    </w:p>
    <w:p w:rsidR="00350ABF" w:rsidRPr="00350ABF" w:rsidRDefault="00350ABF" w:rsidP="00350ABF">
      <w:pPr>
        <w:tabs>
          <w:tab w:val="left" w:pos="426"/>
        </w:tabs>
        <w:ind w:left="-284"/>
        <w:jc w:val="both"/>
        <w:rPr>
          <w:rFonts w:ascii="Arial" w:hAnsi="Arial" w:cs="Arial"/>
          <w:sz w:val="22"/>
          <w:szCs w:val="22"/>
          <w:highlight w:val="yellow"/>
        </w:rPr>
      </w:pPr>
    </w:p>
    <w:p w:rsidR="00B31C9A" w:rsidRPr="00350ABF" w:rsidRDefault="004E65D6" w:rsidP="00B31C9A">
      <w:pPr>
        <w:tabs>
          <w:tab w:val="left" w:pos="426"/>
        </w:tabs>
        <w:ind w:left="-284"/>
        <w:jc w:val="both"/>
        <w:rPr>
          <w:rFonts w:ascii="Arial" w:hAnsi="Arial" w:cs="Arial"/>
          <w:sz w:val="22"/>
          <w:szCs w:val="22"/>
          <w:highlight w:val="yellow"/>
        </w:rPr>
      </w:pPr>
      <w:r w:rsidRPr="004E65D6">
        <w:rPr>
          <w:rFonts w:ascii="Arial" w:hAnsi="Arial" w:cs="Arial"/>
          <w:sz w:val="22"/>
          <w:szCs w:val="22"/>
        </w:rPr>
        <w:t>Il s’agit d’un concours de pêche</w:t>
      </w:r>
      <w:r>
        <w:rPr>
          <w:rFonts w:ascii="Arial" w:hAnsi="Arial" w:cs="Arial"/>
          <w:sz w:val="22"/>
          <w:szCs w:val="22"/>
        </w:rPr>
        <w:t>,</w:t>
      </w:r>
      <w:r w:rsidRPr="004E65D6">
        <w:rPr>
          <w:rFonts w:ascii="Arial" w:hAnsi="Arial" w:cs="Arial"/>
          <w:sz w:val="22"/>
          <w:szCs w:val="22"/>
        </w:rPr>
        <w:t xml:space="preserve"> par équipe de deux pêcheurs</w:t>
      </w:r>
      <w:r>
        <w:rPr>
          <w:rFonts w:ascii="Arial" w:hAnsi="Arial" w:cs="Arial"/>
          <w:sz w:val="22"/>
          <w:szCs w:val="22"/>
        </w:rPr>
        <w:t xml:space="preserve">, </w:t>
      </w:r>
      <w:r w:rsidR="00350ABF" w:rsidRPr="004E65D6">
        <w:rPr>
          <w:rFonts w:ascii="Arial" w:hAnsi="Arial" w:cs="Arial"/>
          <w:sz w:val="22"/>
          <w:szCs w:val="22"/>
        </w:rPr>
        <w:t xml:space="preserve">organisé par l’Association Agréée pour la Pêche et la Protection du Milieu Aquatique (AAPPMA) « </w:t>
      </w:r>
      <w:r>
        <w:rPr>
          <w:rFonts w:ascii="Arial" w:hAnsi="Arial" w:cs="Arial"/>
          <w:sz w:val="22"/>
          <w:szCs w:val="22"/>
        </w:rPr>
        <w:t xml:space="preserve">Le </w:t>
      </w:r>
      <w:r w:rsidR="000E6ED0">
        <w:rPr>
          <w:rFonts w:ascii="Arial" w:hAnsi="Arial" w:cs="Arial"/>
          <w:sz w:val="22"/>
          <w:szCs w:val="22"/>
        </w:rPr>
        <w:t xml:space="preserve">Gardon rouge </w:t>
      </w:r>
      <w:proofErr w:type="spellStart"/>
      <w:r w:rsidR="000E6ED0">
        <w:rPr>
          <w:rFonts w:ascii="Arial" w:hAnsi="Arial" w:cs="Arial"/>
          <w:sz w:val="22"/>
          <w:szCs w:val="22"/>
        </w:rPr>
        <w:t>l</w:t>
      </w:r>
      <w:r w:rsidRPr="004E65D6">
        <w:rPr>
          <w:rFonts w:ascii="Arial" w:hAnsi="Arial" w:cs="Arial"/>
          <w:sz w:val="22"/>
          <w:szCs w:val="22"/>
        </w:rPr>
        <w:t>izéen</w:t>
      </w:r>
      <w:proofErr w:type="spellEnd"/>
      <w:r>
        <w:rPr>
          <w:rFonts w:ascii="Arial" w:hAnsi="Arial" w:cs="Arial"/>
          <w:sz w:val="22"/>
          <w:szCs w:val="22"/>
        </w:rPr>
        <w:t> »</w:t>
      </w:r>
      <w:r w:rsidR="00350ABF" w:rsidRPr="004E65D6">
        <w:rPr>
          <w:rFonts w:ascii="Arial" w:hAnsi="Arial" w:cs="Arial"/>
          <w:sz w:val="22"/>
          <w:szCs w:val="22"/>
        </w:rPr>
        <w:t>.</w:t>
      </w:r>
      <w:r w:rsidR="00B31C9A" w:rsidRPr="00B31C9A">
        <w:rPr>
          <w:rFonts w:ascii="Arial" w:hAnsi="Arial" w:cs="Arial"/>
          <w:sz w:val="22"/>
          <w:szCs w:val="22"/>
        </w:rPr>
        <w:t xml:space="preserve"> Les pêcheurs resteront sur les berges. Cependant, si les pêcheurs doivent se retrouver immergés jusqu’à la taille durant le concours, ils devront être équipés de « </w:t>
      </w:r>
      <w:proofErr w:type="spellStart"/>
      <w:r w:rsidR="00B31C9A" w:rsidRPr="00B31C9A">
        <w:rPr>
          <w:rFonts w:ascii="Arial" w:hAnsi="Arial" w:cs="Arial"/>
          <w:sz w:val="22"/>
          <w:szCs w:val="22"/>
        </w:rPr>
        <w:t>waders</w:t>
      </w:r>
      <w:proofErr w:type="spellEnd"/>
      <w:r w:rsidR="00B31C9A" w:rsidRPr="00B31C9A">
        <w:rPr>
          <w:rFonts w:ascii="Arial" w:hAnsi="Arial" w:cs="Arial"/>
          <w:sz w:val="22"/>
          <w:szCs w:val="22"/>
        </w:rPr>
        <w:t xml:space="preserve"> » (bottes montantes jusqu’à la taille).</w:t>
      </w:r>
      <w:bookmarkStart w:id="0" w:name="_GoBack"/>
      <w:bookmarkEnd w:id="0"/>
    </w:p>
    <w:p w:rsidR="00350ABF" w:rsidRPr="00350ABF" w:rsidRDefault="00350ABF" w:rsidP="00350ABF">
      <w:pPr>
        <w:tabs>
          <w:tab w:val="left" w:pos="426"/>
        </w:tabs>
        <w:ind w:left="-284"/>
        <w:jc w:val="both"/>
        <w:rPr>
          <w:rFonts w:ascii="Arial" w:hAnsi="Arial" w:cs="Arial"/>
          <w:sz w:val="22"/>
          <w:szCs w:val="22"/>
          <w:highlight w:val="yellow"/>
        </w:rPr>
      </w:pPr>
    </w:p>
    <w:p w:rsidR="00350ABF" w:rsidRPr="004E65D6" w:rsidRDefault="00350ABF" w:rsidP="00350ABF">
      <w:pPr>
        <w:tabs>
          <w:tab w:val="left" w:pos="426"/>
        </w:tabs>
        <w:ind w:left="-284"/>
        <w:jc w:val="both"/>
        <w:rPr>
          <w:rFonts w:ascii="Arial" w:hAnsi="Arial" w:cs="Arial"/>
          <w:sz w:val="22"/>
          <w:szCs w:val="22"/>
        </w:rPr>
      </w:pPr>
      <w:r w:rsidRPr="00B31C9A">
        <w:rPr>
          <w:rFonts w:ascii="Arial" w:hAnsi="Arial" w:cs="Arial"/>
          <w:sz w:val="22"/>
          <w:szCs w:val="22"/>
        </w:rPr>
        <w:t xml:space="preserve">Cette manifestation se déroulera </w:t>
      </w:r>
      <w:r w:rsidR="00B31C9A" w:rsidRPr="00B31C9A">
        <w:rPr>
          <w:rFonts w:ascii="Arial" w:hAnsi="Arial" w:cs="Arial"/>
          <w:sz w:val="22"/>
          <w:szCs w:val="22"/>
        </w:rPr>
        <w:t>du pont de chemin de fer à l’embouchure de l’Ourcq (rive droite - Pk 11</w:t>
      </w:r>
      <w:r w:rsidRPr="00B31C9A">
        <w:rPr>
          <w:rFonts w:ascii="Arial" w:hAnsi="Arial" w:cs="Arial"/>
          <w:sz w:val="22"/>
          <w:szCs w:val="22"/>
        </w:rPr>
        <w:t>.</w:t>
      </w:r>
      <w:r w:rsidR="00B31C9A" w:rsidRPr="00B31C9A">
        <w:rPr>
          <w:rFonts w:ascii="Arial" w:hAnsi="Arial" w:cs="Arial"/>
          <w:sz w:val="22"/>
          <w:szCs w:val="22"/>
        </w:rPr>
        <w:t>8</w:t>
      </w:r>
      <w:r w:rsidRPr="00B31C9A">
        <w:rPr>
          <w:rFonts w:ascii="Arial" w:hAnsi="Arial" w:cs="Arial"/>
          <w:sz w:val="22"/>
          <w:szCs w:val="22"/>
        </w:rPr>
        <w:t xml:space="preserve">50 au Pk </w:t>
      </w:r>
      <w:r w:rsidR="00B31C9A" w:rsidRPr="00B31C9A">
        <w:rPr>
          <w:rFonts w:ascii="Arial" w:hAnsi="Arial" w:cs="Arial"/>
          <w:sz w:val="22"/>
          <w:szCs w:val="22"/>
        </w:rPr>
        <w:t>111</w:t>
      </w:r>
      <w:r w:rsidRPr="00B31C9A">
        <w:rPr>
          <w:rFonts w:ascii="Arial" w:hAnsi="Arial" w:cs="Arial"/>
          <w:sz w:val="22"/>
          <w:szCs w:val="22"/>
        </w:rPr>
        <w:t>.</w:t>
      </w:r>
      <w:r w:rsidR="00B31C9A" w:rsidRPr="00B31C9A">
        <w:rPr>
          <w:rFonts w:ascii="Arial" w:hAnsi="Arial" w:cs="Arial"/>
          <w:sz w:val="22"/>
          <w:szCs w:val="22"/>
        </w:rPr>
        <w:t>4</w:t>
      </w:r>
      <w:r w:rsidRPr="00B31C9A">
        <w:rPr>
          <w:rFonts w:ascii="Arial" w:hAnsi="Arial" w:cs="Arial"/>
          <w:sz w:val="22"/>
          <w:szCs w:val="22"/>
        </w:rPr>
        <w:t>50</w:t>
      </w:r>
      <w:r w:rsidR="000E6ED0">
        <w:rPr>
          <w:rFonts w:ascii="Arial" w:hAnsi="Arial" w:cs="Arial"/>
          <w:sz w:val="22"/>
          <w:szCs w:val="22"/>
        </w:rPr>
        <w:t>)</w:t>
      </w:r>
      <w:r w:rsidRPr="00B31C9A">
        <w:rPr>
          <w:rFonts w:ascii="Arial" w:hAnsi="Arial" w:cs="Arial"/>
          <w:sz w:val="22"/>
          <w:szCs w:val="22"/>
        </w:rPr>
        <w:t xml:space="preserve">. </w:t>
      </w:r>
      <w:r w:rsidRPr="004E65D6">
        <w:rPr>
          <w:rFonts w:ascii="Arial" w:hAnsi="Arial" w:cs="Arial"/>
          <w:sz w:val="22"/>
          <w:szCs w:val="22"/>
        </w:rPr>
        <w:t xml:space="preserve">Le nombre de participants attendu, </w:t>
      </w:r>
      <w:r w:rsidR="004E65D6" w:rsidRPr="004E65D6">
        <w:rPr>
          <w:rFonts w:ascii="Arial" w:hAnsi="Arial" w:cs="Arial"/>
          <w:sz w:val="22"/>
          <w:szCs w:val="22"/>
        </w:rPr>
        <w:t>est d’environ 5</w:t>
      </w:r>
      <w:r w:rsidRPr="004E65D6">
        <w:rPr>
          <w:rFonts w:ascii="Arial" w:hAnsi="Arial" w:cs="Arial"/>
          <w:sz w:val="22"/>
          <w:szCs w:val="22"/>
        </w:rPr>
        <w:t>0 personnes.</w:t>
      </w:r>
    </w:p>
    <w:p w:rsidR="000E6ED0" w:rsidRDefault="000E6ED0" w:rsidP="00994E59">
      <w:pPr>
        <w:ind w:left="-284"/>
        <w:jc w:val="both"/>
        <w:rPr>
          <w:rFonts w:ascii="Arial" w:hAnsi="Arial" w:cs="Arial"/>
          <w:sz w:val="22"/>
          <w:szCs w:val="22"/>
        </w:rPr>
      </w:pPr>
    </w:p>
    <w:p w:rsidR="00994E59" w:rsidRPr="00994E59" w:rsidRDefault="00994E59" w:rsidP="00994E59">
      <w:pPr>
        <w:ind w:left="-284"/>
        <w:jc w:val="both"/>
        <w:rPr>
          <w:rFonts w:ascii="Arial" w:hAnsi="Arial" w:cs="Arial"/>
          <w:sz w:val="22"/>
          <w:szCs w:val="22"/>
        </w:rPr>
      </w:pPr>
      <w:r w:rsidRPr="00994E59">
        <w:rPr>
          <w:rFonts w:ascii="Arial" w:hAnsi="Arial" w:cs="Arial"/>
          <w:sz w:val="22"/>
          <w:szCs w:val="22"/>
        </w:rPr>
        <w:t xml:space="preserve">Après examen des informations contenues dans le dossier, il ressort que l’activité proposée ne constitue pas une activité de baignade pour laquelle aucun texte réglementaire n’impose de limites de qualité de l’eau. De plus, le risque de contact avec l’eau des participants semble limité dans le cadre de cette manifestation qui ne prévoit pas de participation de nageurs ou de personnes immergées dans l’eau. </w:t>
      </w:r>
    </w:p>
    <w:p w:rsidR="00994E59" w:rsidRPr="00994E59" w:rsidRDefault="00994E59" w:rsidP="00994E59">
      <w:pPr>
        <w:ind w:left="-284"/>
        <w:jc w:val="both"/>
        <w:rPr>
          <w:rFonts w:ascii="Arial" w:hAnsi="Arial" w:cs="Arial"/>
          <w:sz w:val="22"/>
          <w:szCs w:val="22"/>
        </w:rPr>
      </w:pPr>
    </w:p>
    <w:p w:rsidR="00994E59" w:rsidRPr="00994E59" w:rsidRDefault="00994E59" w:rsidP="00994E59">
      <w:pPr>
        <w:keepNext/>
        <w:tabs>
          <w:tab w:val="left" w:pos="567"/>
        </w:tabs>
        <w:ind w:left="-284"/>
        <w:jc w:val="both"/>
        <w:outlineLvl w:val="0"/>
        <w:rPr>
          <w:rFonts w:ascii="Arial" w:hAnsi="Arial" w:cs="Arial"/>
          <w:sz w:val="22"/>
          <w:szCs w:val="22"/>
        </w:rPr>
      </w:pPr>
      <w:r w:rsidRPr="00994E59">
        <w:rPr>
          <w:rFonts w:ascii="Arial" w:hAnsi="Arial" w:cs="Arial"/>
          <w:sz w:val="22"/>
          <w:szCs w:val="22"/>
        </w:rPr>
        <w:t>Je vous informe toutefois que le décret n°2020-663 du 31 mai 2020 prescrivant les mesures générales nécessaires pour faire face à l’épidémie de covid-19 dans le cadre de l’urgence sanitaire doit être respecté en particulier ses articles 1er, 3, 42 et 46 (</w:t>
      </w:r>
      <w:hyperlink r:id="rId12" w:history="1">
        <w:r w:rsidRPr="00994E59">
          <w:rPr>
            <w:rFonts w:ascii="Arial" w:hAnsi="Arial" w:cs="Arial"/>
            <w:color w:val="0000FF"/>
            <w:sz w:val="22"/>
            <w:szCs w:val="22"/>
            <w:u w:val="single"/>
          </w:rPr>
          <w:t>https://www.legifrance.gouv.fr/affichTexte.do?cidTexte=JORFTEXT000041939818</w:t>
        </w:r>
      </w:hyperlink>
      <w:r w:rsidRPr="00994E59">
        <w:rPr>
          <w:rFonts w:ascii="Arial" w:hAnsi="Arial" w:cs="Arial"/>
          <w:sz w:val="22"/>
          <w:szCs w:val="22"/>
        </w:rPr>
        <w:t>).</w:t>
      </w:r>
    </w:p>
    <w:p w:rsidR="00994E59" w:rsidRPr="00994E59" w:rsidRDefault="00994E59" w:rsidP="00994E59">
      <w:pPr>
        <w:keepNext/>
        <w:tabs>
          <w:tab w:val="left" w:pos="567"/>
        </w:tabs>
        <w:ind w:left="-284"/>
        <w:jc w:val="both"/>
        <w:outlineLvl w:val="0"/>
        <w:rPr>
          <w:rFonts w:ascii="Arial" w:hAnsi="Arial" w:cs="Arial"/>
          <w:sz w:val="22"/>
          <w:szCs w:val="22"/>
        </w:rPr>
      </w:pPr>
    </w:p>
    <w:p w:rsidR="000E6ED0" w:rsidRDefault="000E6ED0" w:rsidP="00994E59">
      <w:pPr>
        <w:keepNext/>
        <w:tabs>
          <w:tab w:val="left" w:pos="567"/>
        </w:tabs>
        <w:ind w:left="-284"/>
        <w:jc w:val="both"/>
        <w:outlineLvl w:val="0"/>
        <w:rPr>
          <w:rFonts w:ascii="Arial" w:hAnsi="Arial" w:cs="Arial"/>
          <w:sz w:val="22"/>
          <w:szCs w:val="22"/>
        </w:rPr>
      </w:pPr>
    </w:p>
    <w:p w:rsidR="000E6ED0" w:rsidRDefault="000E6ED0" w:rsidP="00994E59">
      <w:pPr>
        <w:keepNext/>
        <w:tabs>
          <w:tab w:val="left" w:pos="567"/>
        </w:tabs>
        <w:ind w:left="-284"/>
        <w:jc w:val="both"/>
        <w:outlineLvl w:val="0"/>
        <w:rPr>
          <w:rFonts w:ascii="Arial" w:hAnsi="Arial" w:cs="Arial"/>
          <w:sz w:val="22"/>
          <w:szCs w:val="22"/>
        </w:rPr>
      </w:pPr>
    </w:p>
    <w:p w:rsidR="000E6ED0" w:rsidRDefault="000E6ED0" w:rsidP="00994E59">
      <w:pPr>
        <w:keepNext/>
        <w:tabs>
          <w:tab w:val="left" w:pos="567"/>
        </w:tabs>
        <w:ind w:left="-284"/>
        <w:jc w:val="both"/>
        <w:outlineLvl w:val="0"/>
        <w:rPr>
          <w:rFonts w:ascii="Arial" w:hAnsi="Arial" w:cs="Arial"/>
          <w:sz w:val="22"/>
          <w:szCs w:val="22"/>
        </w:rPr>
      </w:pPr>
    </w:p>
    <w:p w:rsidR="000E6ED0" w:rsidRDefault="000E6ED0">
      <w:pPr>
        <w:rPr>
          <w:rFonts w:ascii="Arial" w:hAnsi="Arial" w:cs="Arial"/>
          <w:sz w:val="22"/>
          <w:szCs w:val="22"/>
        </w:rPr>
      </w:pPr>
      <w:r>
        <w:rPr>
          <w:rFonts w:ascii="Arial" w:hAnsi="Arial" w:cs="Arial"/>
          <w:sz w:val="22"/>
          <w:szCs w:val="22"/>
        </w:rPr>
        <w:br w:type="page"/>
      </w:r>
    </w:p>
    <w:p w:rsidR="00994E59" w:rsidRPr="00994E59" w:rsidRDefault="00994E59" w:rsidP="00994E59">
      <w:pPr>
        <w:keepNext/>
        <w:tabs>
          <w:tab w:val="left" w:pos="567"/>
        </w:tabs>
        <w:ind w:left="-284"/>
        <w:jc w:val="both"/>
        <w:outlineLvl w:val="0"/>
        <w:rPr>
          <w:rFonts w:ascii="Arial" w:hAnsi="Arial" w:cs="Arial"/>
          <w:sz w:val="22"/>
          <w:szCs w:val="22"/>
        </w:rPr>
      </w:pPr>
      <w:r w:rsidRPr="00994E59">
        <w:rPr>
          <w:rFonts w:ascii="Arial" w:hAnsi="Arial" w:cs="Arial"/>
          <w:sz w:val="22"/>
          <w:szCs w:val="22"/>
        </w:rPr>
        <w:lastRenderedPageBreak/>
        <w:t>Toutes les mesures seront prises pour informer les participants des mesures d’hygiène et de distanciation. J’invite les organisateurs à suivre également le guide du ministère des sports relatifs aux recommandations des équipements sportifs, sites et espaces de pratiques sportives en particulier le chapitre consacré aux activités nautiques (</w:t>
      </w:r>
      <w:hyperlink r:id="rId13" w:history="1">
        <w:r w:rsidRPr="00994E59">
          <w:rPr>
            <w:rFonts w:ascii="Arial" w:hAnsi="Arial" w:cs="Arial"/>
            <w:color w:val="0000FF"/>
            <w:sz w:val="22"/>
            <w:szCs w:val="22"/>
            <w:u w:val="single"/>
          </w:rPr>
          <w:t>http://sports.gouv.fr/IMG/pdf/sportsguideequipementssportifs.pdf</w:t>
        </w:r>
      </w:hyperlink>
      <w:r w:rsidRPr="00994E59">
        <w:rPr>
          <w:rFonts w:ascii="Arial" w:hAnsi="Arial" w:cs="Arial"/>
          <w:sz w:val="22"/>
          <w:szCs w:val="22"/>
        </w:rPr>
        <w:t>).</w:t>
      </w:r>
    </w:p>
    <w:p w:rsidR="00994E59" w:rsidRPr="00994E59" w:rsidRDefault="00994E59" w:rsidP="00994E59"/>
    <w:p w:rsidR="00994E59" w:rsidRPr="00994E59" w:rsidRDefault="00994E59" w:rsidP="00994E59"/>
    <w:p w:rsidR="00994E59" w:rsidRPr="00994E59" w:rsidRDefault="00994E59" w:rsidP="00994E59">
      <w:pPr>
        <w:keepNext/>
        <w:tabs>
          <w:tab w:val="left" w:pos="567"/>
        </w:tabs>
        <w:ind w:left="-284"/>
        <w:jc w:val="both"/>
        <w:outlineLvl w:val="0"/>
        <w:rPr>
          <w:rFonts w:ascii="Arial" w:hAnsi="Arial" w:cs="Arial"/>
          <w:sz w:val="22"/>
          <w:szCs w:val="22"/>
        </w:rPr>
      </w:pPr>
      <w:r w:rsidRPr="00994E59">
        <w:rPr>
          <w:rFonts w:ascii="Arial" w:hAnsi="Arial" w:cs="Arial"/>
          <w:sz w:val="22"/>
          <w:szCs w:val="22"/>
        </w:rPr>
        <w:t>Pour rappel, au regard de la situation sanitaire actuelle, l’avis du HCSP du 24 avril 2020 sur les mesures barrières et la distanciation physique en population générale (</w:t>
      </w:r>
      <w:hyperlink r:id="rId14" w:history="1">
        <w:r w:rsidRPr="00994E59">
          <w:rPr>
            <w:rFonts w:ascii="Arial" w:hAnsi="Arial" w:cs="Arial"/>
            <w:color w:val="0000FF"/>
            <w:sz w:val="22"/>
            <w:szCs w:val="22"/>
            <w:u w:val="single"/>
          </w:rPr>
          <w:t>https://www.hcsp.fr/explore.cgi/avisrapportsdomaine?clefr=806</w:t>
        </w:r>
      </w:hyperlink>
      <w:r w:rsidRPr="00994E59">
        <w:rPr>
          <w:rFonts w:ascii="Arial" w:hAnsi="Arial" w:cs="Arial"/>
          <w:sz w:val="22"/>
          <w:szCs w:val="22"/>
        </w:rPr>
        <w:t>) déconseille la pratique des sports aquatiques générant des aérosols. Aussi, en l’absence de données sur la qualité bactériologique de l’eau, et sur un éventuel risque sanitaire pour les participants, j’émets un avis réservé.</w:t>
      </w:r>
    </w:p>
    <w:p w:rsidR="00994E59" w:rsidRPr="00994E59" w:rsidRDefault="00994E59" w:rsidP="00994E59"/>
    <w:p w:rsidR="00994E59" w:rsidRPr="00994E59" w:rsidRDefault="00994E59" w:rsidP="00994E59">
      <w:pPr>
        <w:keepNext/>
        <w:tabs>
          <w:tab w:val="left" w:pos="567"/>
        </w:tabs>
        <w:ind w:left="-284"/>
        <w:jc w:val="both"/>
        <w:outlineLvl w:val="0"/>
        <w:rPr>
          <w:rFonts w:ascii="Arial" w:hAnsi="Arial" w:cs="Arial"/>
          <w:sz w:val="22"/>
          <w:szCs w:val="22"/>
        </w:rPr>
      </w:pPr>
      <w:r w:rsidRPr="00994E59">
        <w:rPr>
          <w:rFonts w:ascii="Arial" w:hAnsi="Arial" w:cs="Arial"/>
          <w:sz w:val="22"/>
          <w:szCs w:val="22"/>
        </w:rPr>
        <w:t xml:space="preserve">Si un avis favorable venait à être délivré, alors je vous invite à prendre en compte l’ensemble des recommandations transmises en pièce jointe et à informer les participants des risques sanitaires encourus dans le cadre d’une activité menée dans une eau dont la qualité microbiologique n’est pas contrôlée. </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Pr="00796A25">
        <w:rPr>
          <w:rFonts w:ascii="Arial" w:hAnsi="Arial" w:cs="Arial"/>
          <w:sz w:val="22"/>
          <w:szCs w:val="22"/>
        </w:rPr>
        <w:t>Madame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5"/>
      <w:footerReference w:type="first" r:id="rId16"/>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42E24">
      <w:rPr>
        <w:rStyle w:val="Numrodepage"/>
        <w:noProof/>
      </w:rPr>
      <w:t>2</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0E6ED0"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4C354E"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0E6ED0"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4C354E"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E63"/>
    <w:rsid w:val="0088116A"/>
    <w:rsid w:val="00886CE8"/>
    <w:rsid w:val="0089004A"/>
    <w:rsid w:val="00892617"/>
    <w:rsid w:val="00893829"/>
    <w:rsid w:val="00893AAF"/>
    <w:rsid w:val="008A69BF"/>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15E4"/>
    <w:rsid w:val="00E51C27"/>
    <w:rsid w:val="00E549CC"/>
    <w:rsid w:val="00E64DD9"/>
    <w:rsid w:val="00E7756E"/>
    <w:rsid w:val="00E81790"/>
    <w:rsid w:val="00E92A31"/>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3B7D7E3"/>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orts.gouv.fr/IMG/pdf/sportsguideequipementssportif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legifrance.gouv.fr/affichTexte.do?cidTexte=JORFTEXT0000419398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hcsp.fr/explore.cgi/avisrapportsdomaine?clefr=806"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1001</Words>
  <Characters>6132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9</cp:revision>
  <cp:lastPrinted>2020-05-26T12:34:00Z</cp:lastPrinted>
  <dcterms:created xsi:type="dcterms:W3CDTF">2020-07-01T09:29:00Z</dcterms:created>
  <dcterms:modified xsi:type="dcterms:W3CDTF">2020-07-02T07:38:00Z</dcterms:modified>
</cp:coreProperties>
</file>